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B6" w:rsidRPr="005F56B6" w:rsidRDefault="005F56B6" w:rsidP="005F56B6">
      <w:pPr>
        <w:shd w:val="clear" w:color="auto" w:fill="FFFFFF"/>
        <w:spacing w:after="150" w:line="600" w:lineRule="atLeast"/>
        <w:outlineLvl w:val="0"/>
        <w:rPr>
          <w:rFonts w:ascii="Helvetica" w:eastAsia="Times New Roman" w:hAnsi="Helvetica" w:cs="Helvetica"/>
          <w:color w:val="000000"/>
          <w:kern w:val="36"/>
          <w:sz w:val="54"/>
          <w:szCs w:val="54"/>
        </w:rPr>
      </w:pPr>
      <w:r w:rsidRPr="005F56B6">
        <w:rPr>
          <w:rFonts w:ascii="Helvetica" w:eastAsia="Times New Roman" w:hAnsi="Helvetica" w:cs="Helvetica"/>
          <w:color w:val="000000"/>
          <w:kern w:val="36"/>
          <w:sz w:val="54"/>
          <w:szCs w:val="54"/>
        </w:rPr>
        <w:t>Seeking to cure the incurable</w:t>
      </w:r>
    </w:p>
    <w:p w:rsidR="00322EC8" w:rsidRDefault="005F56B6">
      <w:pPr>
        <w:rPr>
          <w:rFonts w:ascii="Helvetica" w:hAnsi="Helvetica" w:cs="Helvetica"/>
          <w:color w:val="666666"/>
          <w:sz w:val="18"/>
          <w:szCs w:val="18"/>
          <w:shd w:val="clear" w:color="auto" w:fill="FFFFFF"/>
        </w:rPr>
      </w:pPr>
      <w:r>
        <w:rPr>
          <w:noProof/>
        </w:rPr>
        <w:drawing>
          <wp:inline distT="0" distB="0" distL="0" distR="0">
            <wp:extent cx="323850" cy="323850"/>
            <wp:effectExtent l="19050" t="0" r="0" b="0"/>
            <wp:docPr id="1" name="Picture 1" descr="http://www.gravatar.com/avatar/72846deff27920a214ddd712ba18c9dd?s=34&amp;d=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vatar.com/avatar/72846deff27920a214ddd712ba18c9dd?s=34&amp;d=mm"/>
                    <pic:cNvPicPr>
                      <a:picLocks noChangeAspect="1" noChangeArrowheads="1"/>
                    </pic:cNvPicPr>
                  </pic:nvPicPr>
                  <pic:blipFill>
                    <a:blip r:embed="rId4"/>
                    <a:srcRect/>
                    <a:stretch>
                      <a:fillRect/>
                    </a:stretch>
                  </pic:blipFill>
                  <pic:spPr bwMode="auto">
                    <a:xfrm>
                      <a:off x="0" y="0"/>
                      <a:ext cx="323850" cy="323850"/>
                    </a:xfrm>
                    <a:prstGeom prst="rect">
                      <a:avLst/>
                    </a:prstGeom>
                    <a:noFill/>
                    <a:ln w="9525">
                      <a:noFill/>
                      <a:miter lim="800000"/>
                      <a:headEnd/>
                      <a:tailEnd/>
                    </a:ln>
                  </pic:spPr>
                </pic:pic>
              </a:graphicData>
            </a:graphic>
          </wp:inline>
        </w:drawing>
      </w:r>
      <w:r>
        <w:t xml:space="preserve"> </w:t>
      </w:r>
      <w:r>
        <w:rPr>
          <w:rStyle w:val="apple-converted-space"/>
          <w:rFonts w:ascii="Helvetica" w:hAnsi="Helvetica" w:cs="Helvetica"/>
          <w:color w:val="666666"/>
          <w:sz w:val="18"/>
          <w:szCs w:val="18"/>
          <w:shd w:val="clear" w:color="auto" w:fill="FFFFFF"/>
        </w:rPr>
        <w:t> </w:t>
      </w:r>
      <w:r>
        <w:rPr>
          <w:rFonts w:ascii="Helvetica" w:hAnsi="Helvetica" w:cs="Helvetica"/>
          <w:color w:val="666666"/>
          <w:sz w:val="18"/>
          <w:szCs w:val="18"/>
          <w:shd w:val="clear" w:color="auto" w:fill="FFFFFF"/>
        </w:rPr>
        <w:t>March 10, 2015</w:t>
      </w:r>
      <w:r>
        <w:rPr>
          <w:rStyle w:val="apple-converted-space"/>
          <w:rFonts w:ascii="Helvetica" w:hAnsi="Helvetica" w:cs="Helvetica"/>
          <w:color w:val="666666"/>
          <w:sz w:val="18"/>
          <w:szCs w:val="18"/>
          <w:shd w:val="clear" w:color="auto" w:fill="FFFFFF"/>
        </w:rPr>
        <w:t> </w:t>
      </w:r>
      <w:r>
        <w:rPr>
          <w:rFonts w:ascii="Helvetica" w:hAnsi="Helvetica" w:cs="Helvetica"/>
          <w:color w:val="666666"/>
          <w:sz w:val="18"/>
          <w:szCs w:val="18"/>
          <w:shd w:val="clear" w:color="auto" w:fill="FFFFFF"/>
        </w:rPr>
        <w:t>| Last Updated:</w:t>
      </w:r>
      <w:r>
        <w:rPr>
          <w:rStyle w:val="apple-converted-space"/>
          <w:rFonts w:ascii="Helvetica" w:hAnsi="Helvetica" w:cs="Helvetica"/>
          <w:color w:val="666666"/>
          <w:sz w:val="18"/>
          <w:szCs w:val="18"/>
          <w:shd w:val="clear" w:color="auto" w:fill="FFFFFF"/>
        </w:rPr>
        <w:t> </w:t>
      </w:r>
      <w:r>
        <w:rPr>
          <w:rFonts w:ascii="Helvetica" w:hAnsi="Helvetica" w:cs="Helvetica"/>
          <w:color w:val="666666"/>
          <w:sz w:val="18"/>
          <w:szCs w:val="18"/>
          <w:shd w:val="clear" w:color="auto" w:fill="FFFFFF"/>
        </w:rPr>
        <w:t>Mar 10 6:40 AM ET</w:t>
      </w:r>
    </w:p>
    <w:p w:rsidR="005F56B6" w:rsidRDefault="005F56B6">
      <w:r>
        <w:rPr>
          <w:noProof/>
        </w:rPr>
        <w:drawing>
          <wp:inline distT="0" distB="0" distL="0" distR="0">
            <wp:extent cx="4381500" cy="3286125"/>
            <wp:effectExtent l="19050" t="0" r="0" b="0"/>
            <wp:docPr id="4" name="Picture 4" descr="Dr. Lesley Chan, Cell Manufacturing Development Scientist at CCRM, culturing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 Lesley Chan, Cell Manufacturing Development Scientist at CCRM, culturing cells."/>
                    <pic:cNvPicPr>
                      <a:picLocks noChangeAspect="1" noChangeArrowheads="1"/>
                    </pic:cNvPicPr>
                  </pic:nvPicPr>
                  <pic:blipFill>
                    <a:blip r:embed="rId5"/>
                    <a:srcRect/>
                    <a:stretch>
                      <a:fillRect/>
                    </a:stretch>
                  </pic:blipFill>
                  <pic:spPr bwMode="auto">
                    <a:xfrm>
                      <a:off x="0" y="0"/>
                      <a:ext cx="4381500" cy="3286125"/>
                    </a:xfrm>
                    <a:prstGeom prst="rect">
                      <a:avLst/>
                    </a:prstGeom>
                    <a:noFill/>
                    <a:ln w="9525">
                      <a:noFill/>
                      <a:miter lim="800000"/>
                      <a:headEnd/>
                      <a:tailEnd/>
                    </a:ln>
                  </pic:spPr>
                </pic:pic>
              </a:graphicData>
            </a:graphic>
          </wp:inline>
        </w:drawing>
      </w:r>
    </w:p>
    <w:p w:rsidR="005F56B6" w:rsidRPr="005F56B6" w:rsidRDefault="005F56B6" w:rsidP="005F56B6">
      <w:pPr>
        <w:pStyle w:val="NormalWeb"/>
        <w:shd w:val="clear" w:color="auto" w:fill="FFFFFF"/>
        <w:spacing w:before="0" w:beforeAutospacing="0" w:after="0" w:afterAutospacing="0" w:line="360" w:lineRule="atLeast"/>
        <w:rPr>
          <w:rFonts w:ascii="Helvetica" w:hAnsi="Helvetica" w:cs="Helvetica"/>
          <w:noProof/>
          <w:color w:val="333333"/>
        </w:rPr>
      </w:pPr>
      <w:r w:rsidRPr="005F56B6">
        <w:rPr>
          <w:rStyle w:val="Strong"/>
          <w:rFonts w:ascii="Helvetica" w:hAnsi="Helvetica" w:cs="Helvetica"/>
          <w:noProof/>
          <w:color w:val="333333"/>
        </w:rPr>
        <w:t>Canada and Japan setting the world pace for innovations in regenerative medicine</w:t>
      </w:r>
    </w:p>
    <w:p w:rsidR="005F56B6" w:rsidRPr="005F56B6" w:rsidRDefault="005F56B6" w:rsidP="005F56B6">
      <w:pPr>
        <w:pStyle w:val="NormalWeb"/>
        <w:shd w:val="clear" w:color="auto" w:fill="FFFFFF"/>
        <w:spacing w:before="0" w:beforeAutospacing="0" w:after="199" w:afterAutospacing="0" w:line="360" w:lineRule="atLeast"/>
        <w:rPr>
          <w:rFonts w:ascii="Helvetica" w:hAnsi="Helvetica" w:cs="Helvetica"/>
          <w:noProof/>
          <w:color w:val="333333"/>
        </w:rPr>
      </w:pPr>
      <w:r w:rsidRPr="005F56B6">
        <w:rPr>
          <w:rFonts w:ascii="Helvetica" w:hAnsi="Helvetica" w:cs="Helvetica"/>
          <w:noProof/>
          <w:color w:val="333333"/>
        </w:rPr>
        <w:t>Canada and Japan are taking distinctly different but complementary paths in the development of a regenerative medicine industry within their borders. While their paths may differ, their activities are having a profound impact on the future of a global industry that is poised for exponential growth.</w:t>
      </w:r>
    </w:p>
    <w:p w:rsidR="005F56B6" w:rsidRPr="005F56B6" w:rsidRDefault="005F56B6" w:rsidP="005F56B6">
      <w:pPr>
        <w:pStyle w:val="NormalWeb"/>
        <w:shd w:val="clear" w:color="auto" w:fill="FFFFFF"/>
        <w:spacing w:before="0" w:beforeAutospacing="0" w:after="199" w:afterAutospacing="0" w:line="360" w:lineRule="atLeast"/>
        <w:rPr>
          <w:rFonts w:ascii="Helvetica" w:hAnsi="Helvetica" w:cs="Helvetica"/>
          <w:noProof/>
          <w:color w:val="333333"/>
        </w:rPr>
      </w:pPr>
      <w:r w:rsidRPr="005F56B6">
        <w:rPr>
          <w:rFonts w:ascii="Helvetica" w:hAnsi="Helvetica" w:cs="Helvetica"/>
          <w:noProof/>
          <w:color w:val="333333"/>
        </w:rPr>
        <w:t>Japan’s commitment to regenerative medicine leadership has been fuelled by Prime Minister Shinzo Abe’s vision for revitalizing the country’s economy. That economic revival includes policies to support the development of a robust, world-leading regenerative medicine industry in Japan, including US$1-billion in funding for stem cell research over 10 years.</w:t>
      </w:r>
    </w:p>
    <w:p w:rsidR="005F56B6" w:rsidRPr="005F56B6" w:rsidRDefault="005F56B6" w:rsidP="005F56B6">
      <w:pPr>
        <w:pStyle w:val="NormalWeb"/>
        <w:shd w:val="clear" w:color="auto" w:fill="FFFFFF"/>
        <w:spacing w:before="0" w:beforeAutospacing="0" w:after="199" w:afterAutospacing="0" w:line="360" w:lineRule="atLeast"/>
        <w:rPr>
          <w:rFonts w:ascii="Helvetica" w:hAnsi="Helvetica" w:cs="Helvetica"/>
          <w:noProof/>
          <w:color w:val="333333"/>
        </w:rPr>
      </w:pPr>
      <w:r w:rsidRPr="005F56B6">
        <w:rPr>
          <w:rFonts w:ascii="Helvetica" w:hAnsi="Helvetica" w:cs="Helvetica"/>
          <w:noProof/>
          <w:color w:val="333333"/>
        </w:rPr>
        <w:t>While the Japanese initiatives are in part driven by national economic interests, they are fundamentally about bringing new medicines to a significantly and rapidly aging Japanese demographic.</w:t>
      </w:r>
    </w:p>
    <w:p w:rsidR="005F56B6" w:rsidRPr="005F56B6" w:rsidRDefault="005F56B6" w:rsidP="005F56B6">
      <w:pPr>
        <w:pStyle w:val="NormalWeb"/>
        <w:shd w:val="clear" w:color="auto" w:fill="FFFFFF"/>
        <w:spacing w:before="0" w:beforeAutospacing="0" w:after="199" w:afterAutospacing="0" w:line="360" w:lineRule="atLeast"/>
        <w:rPr>
          <w:rFonts w:ascii="Helvetica" w:hAnsi="Helvetica" w:cs="Helvetica"/>
          <w:noProof/>
          <w:color w:val="333333"/>
        </w:rPr>
      </w:pPr>
      <w:r w:rsidRPr="005F56B6">
        <w:rPr>
          <w:rFonts w:ascii="Helvetica" w:hAnsi="Helvetica" w:cs="Helvetica"/>
          <w:noProof/>
          <w:color w:val="333333"/>
        </w:rPr>
        <w:t xml:space="preserve">“Japan is looking to establish leadership in the regenerative medicine industry by encouraging domestic innovation and enticing foreign companies to develop products in </w:t>
      </w:r>
      <w:r w:rsidRPr="005F56B6">
        <w:rPr>
          <w:rFonts w:ascii="Helvetica" w:hAnsi="Helvetica" w:cs="Helvetica"/>
          <w:noProof/>
          <w:color w:val="333333"/>
        </w:rPr>
        <w:lastRenderedPageBreak/>
        <w:t>Japan by bringing foreign therapeutics to the Japanese market,” says Shinichi Muto, chief Japan representative for Euro Pacific Canada, Inc. “The mission of our nation’s leadership is to pave the way for real, practical breakthroughs in regenerative medicine. My firm is actively working with companies outside Japan, like RepliCel Life Sciences and others, to build three-way partnerships between Japanese investors, strategic partners, and therapeutic developers.”</w:t>
      </w:r>
    </w:p>
    <w:p w:rsidR="005F56B6" w:rsidRPr="005F56B6" w:rsidRDefault="005F56B6" w:rsidP="005F56B6">
      <w:pPr>
        <w:pStyle w:val="NormalWeb"/>
        <w:shd w:val="clear" w:color="auto" w:fill="FFFFFF"/>
        <w:spacing w:before="0" w:beforeAutospacing="0" w:after="199" w:afterAutospacing="0" w:line="360" w:lineRule="atLeast"/>
        <w:rPr>
          <w:rFonts w:ascii="Helvetica" w:hAnsi="Helvetica" w:cs="Helvetica"/>
          <w:noProof/>
          <w:color w:val="333333"/>
        </w:rPr>
      </w:pPr>
      <w:r w:rsidRPr="005F56B6">
        <w:rPr>
          <w:rFonts w:ascii="Helvetica" w:hAnsi="Helvetica" w:cs="Helvetica"/>
          <w:noProof/>
          <w:color w:val="333333"/>
        </w:rPr>
        <w:t>“The regenerative medicine and cell therapy field is changing rapidly around the world,” says Michael May, chief executive officer of the Centre for Commercialization of Regenerative Medicine (CCRM) in Toronto. “What is happening in Japan is one example of how momentum is building in this industry. Corporate, technological, financial and clinical developments are happening very, very quickly.”</w:t>
      </w:r>
    </w:p>
    <w:p w:rsidR="005F56B6" w:rsidRPr="005F56B6" w:rsidRDefault="005F56B6" w:rsidP="005F56B6">
      <w:pPr>
        <w:pStyle w:val="NormalWeb"/>
        <w:shd w:val="clear" w:color="auto" w:fill="FFFFFF"/>
        <w:spacing w:before="0" w:beforeAutospacing="0" w:after="199" w:afterAutospacing="0" w:line="360" w:lineRule="atLeast"/>
        <w:rPr>
          <w:rFonts w:ascii="Helvetica" w:hAnsi="Helvetica" w:cs="Helvetica"/>
          <w:noProof/>
          <w:color w:val="333333"/>
        </w:rPr>
      </w:pPr>
      <w:r w:rsidRPr="005F56B6">
        <w:rPr>
          <w:rFonts w:ascii="Helvetica" w:hAnsi="Helvetica" w:cs="Helvetica"/>
          <w:noProof/>
          <w:color w:val="333333"/>
        </w:rPr>
        <w:t>Regenerative medicine aims to harness the power of cells, biomaterials and molecules to repair, regenerate or replace diseased cells, tissues and organs. It has the promise to treat, manage and perhaps cure some of the most devastating and costly diseases or chronic conditions in the world today.</w:t>
      </w:r>
    </w:p>
    <w:p w:rsidR="005F56B6" w:rsidRPr="005F56B6" w:rsidRDefault="005F56B6" w:rsidP="005F56B6">
      <w:pPr>
        <w:pStyle w:val="NormalWeb"/>
        <w:shd w:val="clear" w:color="auto" w:fill="FFFFFF"/>
        <w:spacing w:before="0" w:beforeAutospacing="0" w:after="199" w:afterAutospacing="0" w:line="360" w:lineRule="atLeast"/>
        <w:rPr>
          <w:rFonts w:ascii="Helvetica" w:hAnsi="Helvetica" w:cs="Helvetica"/>
          <w:noProof/>
          <w:color w:val="333333"/>
        </w:rPr>
      </w:pPr>
      <w:r w:rsidRPr="005F56B6">
        <w:rPr>
          <w:rFonts w:ascii="Helvetica" w:hAnsi="Helvetica" w:cs="Helvetica"/>
          <w:noProof/>
          <w:color w:val="333333"/>
        </w:rPr>
        <w:t>A key component of Japan’s strategy is changing the regulatory policy around the oversight, approval, clinical development and manufacturing processes related to cell-based therapies. “For those in the industry, this is a leading initiative that promises to dramatically change the regenerative medicine landscape,” May says. “Japan is revolutionizing regulatory approval in order to become a ‘stem cell nation’.”</w:t>
      </w:r>
    </w:p>
    <w:p w:rsidR="005F56B6" w:rsidRPr="005F56B6" w:rsidRDefault="005F56B6" w:rsidP="005F56B6">
      <w:pPr>
        <w:pStyle w:val="NormalWeb"/>
        <w:shd w:val="clear" w:color="auto" w:fill="FFFFFF"/>
        <w:spacing w:before="0" w:beforeAutospacing="0" w:after="199" w:afterAutospacing="0" w:line="360" w:lineRule="atLeast"/>
        <w:rPr>
          <w:rFonts w:ascii="Helvetica" w:hAnsi="Helvetica" w:cs="Helvetica"/>
          <w:noProof/>
          <w:color w:val="333333"/>
        </w:rPr>
      </w:pPr>
      <w:r w:rsidRPr="005F56B6">
        <w:rPr>
          <w:rFonts w:ascii="Helvetica" w:hAnsi="Helvetica" w:cs="Helvetica"/>
          <w:noProof/>
          <w:color w:val="333333"/>
        </w:rPr>
        <w:t>Canada has its own leadership role to play in terms of its strength in regenerative medicine science, he adds. “Canada has some very novel and valuable strategies in play around regenerative medicine that will benefit immensely in light of Japan’s movement.”</w:t>
      </w:r>
    </w:p>
    <w:p w:rsidR="005F56B6" w:rsidRPr="005F56B6" w:rsidRDefault="005F56B6" w:rsidP="005F56B6">
      <w:pPr>
        <w:pStyle w:val="NormalWeb"/>
        <w:shd w:val="clear" w:color="auto" w:fill="FFFFFF"/>
        <w:spacing w:before="0" w:beforeAutospacing="0" w:after="199" w:afterAutospacing="0" w:line="360" w:lineRule="atLeast"/>
        <w:rPr>
          <w:rFonts w:ascii="Helvetica" w:hAnsi="Helvetica" w:cs="Helvetica"/>
          <w:noProof/>
          <w:color w:val="333333"/>
        </w:rPr>
      </w:pPr>
      <w:r w:rsidRPr="005F56B6">
        <w:rPr>
          <w:rFonts w:ascii="Helvetica" w:hAnsi="Helvetica" w:cs="Helvetica"/>
          <w:noProof/>
          <w:color w:val="333333"/>
        </w:rPr>
        <w:t>CCRM is playing a key role in commercializing the wealth of regenerative medicine science and intellectual property available in Canada. This is being achieved either by establishing new companies or finding partners to develop technologies on their behalf. Since its inception in 2011, CCRM has established ties with academia, created a formal industry consortium of more than 40 companies from around the world, and gained six core Canadian institutional partners.</w:t>
      </w:r>
    </w:p>
    <w:p w:rsidR="005F56B6" w:rsidRPr="005F56B6" w:rsidRDefault="005F56B6" w:rsidP="005F56B6">
      <w:pPr>
        <w:pStyle w:val="NormalWeb"/>
        <w:shd w:val="clear" w:color="auto" w:fill="FFFFFF"/>
        <w:spacing w:before="0" w:beforeAutospacing="0" w:after="0" w:afterAutospacing="0" w:line="360" w:lineRule="atLeast"/>
        <w:rPr>
          <w:rFonts w:ascii="Helvetica" w:hAnsi="Helvetica" w:cs="Helvetica"/>
          <w:noProof/>
          <w:color w:val="333333"/>
        </w:rPr>
      </w:pPr>
      <w:r w:rsidRPr="005F56B6">
        <w:rPr>
          <w:rFonts w:ascii="Helvetica" w:hAnsi="Helvetica" w:cs="Helvetica"/>
          <w:noProof/>
          <w:color w:val="333333"/>
        </w:rPr>
        <w:t>Consortium members representing key sectors of the regenerative industry include</w:t>
      </w:r>
      <w:r w:rsidRPr="005F56B6">
        <w:rPr>
          <w:rStyle w:val="apple-converted-space"/>
          <w:rFonts w:ascii="Helvetica" w:hAnsi="Helvetica" w:cs="Helvetica"/>
          <w:noProof/>
          <w:color w:val="333333"/>
        </w:rPr>
        <w:t> </w:t>
      </w:r>
      <w:hyperlink r:id="rId6" w:tgtFrame="new" w:history="1">
        <w:r w:rsidRPr="005F56B6">
          <w:rPr>
            <w:rStyle w:val="Hyperlink"/>
            <w:rFonts w:ascii="Helvetica" w:hAnsi="Helvetica" w:cs="Helvetica"/>
            <w:noProof/>
            <w:color w:val="3366CD"/>
          </w:rPr>
          <w:t>the McEwen Centre for Regenerative Medicine</w:t>
        </w:r>
      </w:hyperlink>
      <w:r w:rsidRPr="005F56B6">
        <w:rPr>
          <w:rFonts w:ascii="Helvetica" w:hAnsi="Helvetica" w:cs="Helvetica"/>
          <w:noProof/>
          <w:color w:val="333333"/>
        </w:rPr>
        <w:t xml:space="preserve">, a world-renowned centre for stem cell </w:t>
      </w:r>
      <w:r w:rsidRPr="005F56B6">
        <w:rPr>
          <w:rFonts w:ascii="Helvetica" w:hAnsi="Helvetica" w:cs="Helvetica"/>
          <w:noProof/>
          <w:color w:val="333333"/>
        </w:rPr>
        <w:lastRenderedPageBreak/>
        <w:t>biology and regenerative medicine to treat conditions such as heart disease, diabetes, respiratory disease and spinal cord injury. Canada is also home to the</w:t>
      </w:r>
      <w:r w:rsidRPr="005F56B6">
        <w:rPr>
          <w:rStyle w:val="apple-converted-space"/>
          <w:rFonts w:ascii="Helvetica" w:hAnsi="Helvetica" w:cs="Helvetica"/>
          <w:noProof/>
          <w:color w:val="333333"/>
        </w:rPr>
        <w:t> </w:t>
      </w:r>
      <w:hyperlink r:id="rId7" w:tgtFrame="new" w:history="1">
        <w:r w:rsidRPr="005F56B6">
          <w:rPr>
            <w:rStyle w:val="Hyperlink"/>
            <w:rFonts w:ascii="Helvetica" w:hAnsi="Helvetica" w:cs="Helvetica"/>
            <w:noProof/>
            <w:color w:val="3366CD"/>
          </w:rPr>
          <w:t>Canadian Stem Cell Network</w:t>
        </w:r>
      </w:hyperlink>
      <w:r w:rsidRPr="005F56B6">
        <w:rPr>
          <w:rFonts w:ascii="Helvetica" w:hAnsi="Helvetica" w:cs="Helvetica"/>
          <w:noProof/>
          <w:color w:val="333333"/>
        </w:rPr>
        <w:t>, one of the most prodigious producers of pre-clinical stem cell research and publications.</w:t>
      </w:r>
    </w:p>
    <w:p w:rsidR="005F56B6" w:rsidRPr="005F56B6" w:rsidRDefault="005F56B6" w:rsidP="005F56B6">
      <w:pPr>
        <w:pStyle w:val="NormalWeb"/>
        <w:shd w:val="clear" w:color="auto" w:fill="FFFFFF"/>
        <w:spacing w:before="0" w:beforeAutospacing="0" w:after="199" w:afterAutospacing="0" w:line="360" w:lineRule="atLeast"/>
        <w:rPr>
          <w:rFonts w:ascii="Helvetica" w:hAnsi="Helvetica" w:cs="Helvetica"/>
          <w:noProof/>
          <w:color w:val="333333"/>
        </w:rPr>
      </w:pPr>
      <w:r w:rsidRPr="005F56B6">
        <w:rPr>
          <w:rFonts w:ascii="Helvetica" w:hAnsi="Helvetica" w:cs="Helvetica"/>
          <w:noProof/>
          <w:color w:val="333333"/>
        </w:rPr>
        <w:t>CCRM to date has performed due diligence on 200 cell therapy technologies from Canada and around the world. These include work by Canadian leaders such as Induce Biologics, Sernova, TRT, RepliCel Life Sciences, Insception Lifebank, Octane, Northern Therapeutics, Interface Biologics, Stemcell Technologies, Actium Research, Hemostemix and more.</w:t>
      </w:r>
    </w:p>
    <w:p w:rsidR="005F56B6" w:rsidRPr="005F56B6" w:rsidRDefault="005F56B6" w:rsidP="005F56B6">
      <w:pPr>
        <w:pStyle w:val="NormalWeb"/>
        <w:shd w:val="clear" w:color="auto" w:fill="FFFFFF"/>
        <w:spacing w:before="0" w:beforeAutospacing="0" w:after="199" w:afterAutospacing="0" w:line="360" w:lineRule="atLeast"/>
        <w:rPr>
          <w:rFonts w:ascii="Helvetica" w:hAnsi="Helvetica" w:cs="Helvetica"/>
          <w:noProof/>
          <w:color w:val="333333"/>
        </w:rPr>
      </w:pPr>
      <w:r w:rsidRPr="005F56B6">
        <w:rPr>
          <w:rFonts w:ascii="Helvetica" w:hAnsi="Helvetica" w:cs="Helvetica"/>
          <w:noProof/>
          <w:color w:val="333333"/>
        </w:rPr>
        <w:t>Now the focus is on building a third network, which is one of investors, May says. “The plan is to launch investment vehicles specifically focused on regenerative medicine to finance commercial opportunities in Canada. This final piece is really important in supporting commercialization and creating manufacturing capability in Ontario. When this happens, Canada will hold a unique leadership position in the world.”</w:t>
      </w:r>
    </w:p>
    <w:p w:rsidR="005F56B6" w:rsidRPr="005F56B6" w:rsidRDefault="005F56B6" w:rsidP="005F56B6">
      <w:pPr>
        <w:pStyle w:val="NormalWeb"/>
        <w:shd w:val="clear" w:color="auto" w:fill="FFFFFF"/>
        <w:spacing w:before="0" w:beforeAutospacing="0" w:after="199" w:afterAutospacing="0" w:line="360" w:lineRule="atLeast"/>
        <w:rPr>
          <w:rFonts w:ascii="Helvetica" w:hAnsi="Helvetica" w:cs="Helvetica"/>
          <w:noProof/>
          <w:color w:val="333333"/>
        </w:rPr>
      </w:pPr>
      <w:r w:rsidRPr="005F56B6">
        <w:rPr>
          <w:rFonts w:ascii="Helvetica" w:hAnsi="Helvetica" w:cs="Helvetica"/>
          <w:noProof/>
          <w:color w:val="333333"/>
        </w:rPr>
        <w:t>CCRM is a world-class example of the efforts to create pathways for regenerative medicine commercialization, says Lee Buckler, vice-president, business and corporate development, for RepliCel Life Sciences (TSXV: RP) in Vancouver. “They are really bringing the whole industry to Canada by creating an infrastructure for great research, development, production and commercialization.”</w:t>
      </w:r>
    </w:p>
    <w:p w:rsidR="005F56B6" w:rsidRPr="005F56B6" w:rsidRDefault="005F56B6" w:rsidP="005F56B6">
      <w:pPr>
        <w:pStyle w:val="NormalWeb"/>
        <w:shd w:val="clear" w:color="auto" w:fill="FFFFFF"/>
        <w:spacing w:before="0" w:beforeAutospacing="0" w:after="199" w:afterAutospacing="0" w:line="360" w:lineRule="atLeast"/>
        <w:rPr>
          <w:rFonts w:ascii="Helvetica" w:hAnsi="Helvetica" w:cs="Helvetica"/>
          <w:noProof/>
          <w:color w:val="333333"/>
        </w:rPr>
      </w:pPr>
      <w:r w:rsidRPr="005F56B6">
        <w:rPr>
          <w:rFonts w:ascii="Helvetica" w:hAnsi="Helvetica" w:cs="Helvetica"/>
          <w:noProof/>
          <w:color w:val="333333"/>
        </w:rPr>
        <w:t>RepliCel is a regenerative medicine innovator that has been among the first in the world to create formal ties with Japanese industry to leverage this rapidly emerging opportunity. In 2013, it signed a major deal with Shiseido Company for commercialization of its autologous cell therapy (produced using cells harvested from the patient’s own hair follicles) for treating pattern baldness. The agreement granted an exclusive license for RepliCel’s most advanced product, RCH-01, to Shiseido for certain Asian countries.</w:t>
      </w:r>
    </w:p>
    <w:p w:rsidR="005F56B6" w:rsidRPr="005F56B6" w:rsidRDefault="005F56B6" w:rsidP="005F56B6">
      <w:pPr>
        <w:pStyle w:val="NormalWeb"/>
        <w:shd w:val="clear" w:color="auto" w:fill="FFFFFF"/>
        <w:spacing w:before="0" w:beforeAutospacing="0" w:after="199" w:afterAutospacing="0" w:line="360" w:lineRule="atLeast"/>
        <w:rPr>
          <w:rFonts w:ascii="Helvetica" w:hAnsi="Helvetica" w:cs="Helvetica"/>
          <w:noProof/>
          <w:color w:val="333333"/>
        </w:rPr>
      </w:pPr>
      <w:r w:rsidRPr="005F56B6">
        <w:rPr>
          <w:rFonts w:ascii="Helvetica" w:hAnsi="Helvetica" w:cs="Helvetica"/>
          <w:noProof/>
          <w:color w:val="333333"/>
        </w:rPr>
        <w:t xml:space="preserve">Youichi Shimatani, Shiseido’s chief corporate officer for research and development, says “Creating beauty in everyday life is the mission of Shiseido. To alleviate suffering of people with alopecia, we have dedicated many years to hair research. Using the knowledge and technologies acquired from our research activities, Shiseido is currently preparing to launch an RCH-01 clinical research study for the treatment of pattern baldness under the supervision of key clinical opinion leaders of hair research in Japan.” In his opinion, “Japan’s new regenerative medicine law allows industry partners like </w:t>
      </w:r>
      <w:r w:rsidRPr="005F56B6">
        <w:rPr>
          <w:rFonts w:ascii="Helvetica" w:hAnsi="Helvetica" w:cs="Helvetica"/>
          <w:noProof/>
          <w:color w:val="333333"/>
        </w:rPr>
        <w:lastRenderedPageBreak/>
        <w:t>Shiseido to take part in clinical research under clinical guidance to develop new regenerative therapies. We hope that our efforts will lead to further promotion and advancement of regenerative medicine in Japan.”</w:t>
      </w:r>
    </w:p>
    <w:p w:rsidR="005F56B6" w:rsidRPr="005F56B6" w:rsidRDefault="005F56B6" w:rsidP="005F56B6">
      <w:pPr>
        <w:pStyle w:val="NormalWeb"/>
        <w:shd w:val="clear" w:color="auto" w:fill="FFFFFF"/>
        <w:spacing w:before="0" w:beforeAutospacing="0" w:after="199" w:afterAutospacing="0" w:line="360" w:lineRule="atLeast"/>
        <w:rPr>
          <w:rFonts w:ascii="Helvetica" w:hAnsi="Helvetica" w:cs="Helvetica"/>
          <w:noProof/>
          <w:color w:val="333333"/>
        </w:rPr>
      </w:pPr>
      <w:r w:rsidRPr="005F56B6">
        <w:rPr>
          <w:rFonts w:ascii="Helvetica" w:hAnsi="Helvetica" w:cs="Helvetica"/>
          <w:noProof/>
          <w:color w:val="333333"/>
        </w:rPr>
        <w:t>RepliCel holds a unique and strong competitive position in Japan, Buckler notes, because the deal with Shiseido was signed shortly before Japan’s new regulations were finalized in November 2014.</w:t>
      </w:r>
    </w:p>
    <w:p w:rsidR="005F56B6" w:rsidRPr="005F56B6" w:rsidRDefault="005F56B6" w:rsidP="005F56B6">
      <w:pPr>
        <w:pStyle w:val="NormalWeb"/>
        <w:shd w:val="clear" w:color="auto" w:fill="FFFFFF"/>
        <w:spacing w:before="0" w:beforeAutospacing="0" w:after="199" w:afterAutospacing="0" w:line="360" w:lineRule="atLeast"/>
        <w:rPr>
          <w:rFonts w:ascii="Helvetica" w:hAnsi="Helvetica" w:cs="Helvetica"/>
          <w:noProof/>
          <w:color w:val="333333"/>
        </w:rPr>
      </w:pPr>
      <w:r w:rsidRPr="005F56B6">
        <w:rPr>
          <w:rFonts w:ascii="Helvetica" w:hAnsi="Helvetica" w:cs="Helvetica"/>
          <w:noProof/>
          <w:color w:val="333333"/>
        </w:rPr>
        <w:t>He says RepliCel ranks as one of the few foreign cell therapy companies with a Japanese partner, and one of an even smaller group with an active manufacturing footprint in Japan. “We believe we are also one of the first foreign cell therapy companies poised to initiate a clinical trial with its Japanese partner under the new regulations.”</w:t>
      </w:r>
    </w:p>
    <w:p w:rsidR="005F56B6" w:rsidRPr="005F56B6" w:rsidRDefault="005F56B6" w:rsidP="005F56B6">
      <w:pPr>
        <w:pStyle w:val="NormalWeb"/>
        <w:shd w:val="clear" w:color="auto" w:fill="FFFFFF"/>
        <w:spacing w:before="0" w:beforeAutospacing="0" w:after="199" w:afterAutospacing="0" w:line="360" w:lineRule="atLeast"/>
        <w:rPr>
          <w:rFonts w:ascii="Helvetica" w:hAnsi="Helvetica" w:cs="Helvetica"/>
          <w:noProof/>
          <w:color w:val="333333"/>
        </w:rPr>
      </w:pPr>
      <w:r w:rsidRPr="005F56B6">
        <w:rPr>
          <w:rFonts w:ascii="Helvetica" w:hAnsi="Helvetica" w:cs="Helvetica"/>
          <w:noProof/>
          <w:color w:val="333333"/>
        </w:rPr>
        <w:t>The company is also actively engaged with investors and potential partners to establish similar partnerships for other products in its pipeline for orthopedic (tendon repair) and dermatological (skin rejuvenation) applications.</w:t>
      </w:r>
    </w:p>
    <w:p w:rsidR="005F56B6" w:rsidRPr="005F56B6" w:rsidRDefault="005F56B6" w:rsidP="005F56B6">
      <w:pPr>
        <w:pStyle w:val="NormalWeb"/>
        <w:shd w:val="clear" w:color="auto" w:fill="FFFFFF"/>
        <w:spacing w:before="0" w:beforeAutospacing="0" w:after="199" w:afterAutospacing="0" w:line="360" w:lineRule="atLeast"/>
        <w:rPr>
          <w:rFonts w:ascii="Helvetica" w:hAnsi="Helvetica" w:cs="Helvetica"/>
          <w:noProof/>
          <w:color w:val="333333"/>
        </w:rPr>
      </w:pPr>
      <w:r w:rsidRPr="005F56B6">
        <w:rPr>
          <w:rFonts w:ascii="Helvetica" w:hAnsi="Helvetica" w:cs="Helvetica"/>
          <w:noProof/>
          <w:color w:val="333333"/>
        </w:rPr>
        <w:t>Buckler believes Canada’s deep roots in regenerative medicine, combined with the collaborative efforts on the part of CCRM, bode well for the prospects of companies such as RepliCel that are pursuing global commercialization opportunities.</w:t>
      </w:r>
    </w:p>
    <w:p w:rsidR="005F56B6" w:rsidRPr="005F56B6" w:rsidRDefault="005F56B6" w:rsidP="005F56B6">
      <w:pPr>
        <w:pStyle w:val="NormalWeb"/>
        <w:shd w:val="clear" w:color="auto" w:fill="FFFFFF"/>
        <w:spacing w:before="0" w:beforeAutospacing="0" w:after="199" w:afterAutospacing="0" w:line="360" w:lineRule="atLeast"/>
        <w:rPr>
          <w:rFonts w:ascii="Helvetica" w:hAnsi="Helvetica" w:cs="Helvetica"/>
          <w:noProof/>
          <w:color w:val="333333"/>
        </w:rPr>
      </w:pPr>
      <w:r w:rsidRPr="005F56B6">
        <w:rPr>
          <w:rFonts w:ascii="Helvetica" w:hAnsi="Helvetica" w:cs="Helvetica"/>
          <w:noProof/>
          <w:color w:val="333333"/>
        </w:rPr>
        <w:t>While Japan is not the sole focus of CCRM’s global collaboration efforts, May says it is a cornerstone to Canada’s future as a leader in regenerative medicine. “One of the most revolutionary things Japan has done is create new pathways for regenerative medicine that allow cell therapy companies to get conditional approval and bring their product to market more quickly. Expediting market access has created a tremendous motivation for companies to bring technologies into Japan for development and commercialization. Investors for their part see the same opportunity and are looking for ways to build on this momentum.”</w:t>
      </w:r>
    </w:p>
    <w:p w:rsidR="005F56B6" w:rsidRPr="005F56B6" w:rsidRDefault="005F56B6" w:rsidP="005F56B6">
      <w:pPr>
        <w:pStyle w:val="NormalWeb"/>
        <w:shd w:val="clear" w:color="auto" w:fill="FFFFFF"/>
        <w:spacing w:before="0" w:beforeAutospacing="0" w:after="199" w:afterAutospacing="0" w:line="360" w:lineRule="atLeast"/>
        <w:rPr>
          <w:rFonts w:ascii="Helvetica" w:hAnsi="Helvetica" w:cs="Helvetica"/>
          <w:noProof/>
          <w:color w:val="333333"/>
        </w:rPr>
      </w:pPr>
      <w:r w:rsidRPr="005F56B6">
        <w:rPr>
          <w:rFonts w:ascii="Helvetica" w:hAnsi="Helvetica" w:cs="Helvetica"/>
          <w:noProof/>
          <w:color w:val="333333"/>
        </w:rPr>
        <w:t>This momentum is indicative of the interest being generated in investment in cell therapy research globally, May says. “CCRM’s networking efforts with other global centres of excellence, and new regulatory pathways in countries such as Japan, are wonderful examples of how firms are working in multiple jurisdictions to bring potentially life-saving products to market.”</w:t>
      </w:r>
    </w:p>
    <w:p w:rsidR="005F56B6" w:rsidRPr="005F56B6" w:rsidRDefault="005F56B6">
      <w:pPr>
        <w:rPr>
          <w:noProof/>
        </w:rPr>
      </w:pPr>
      <w:permStart w:id="0" w:edGrp="everyone"/>
      <w:permEnd w:id="0"/>
    </w:p>
    <w:sectPr w:rsidR="005F56B6" w:rsidRPr="005F56B6" w:rsidSect="00322EC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En+SfWgd4FxnpRTgagSy3ICSZag=" w:salt="l8a23repottCHYH9Tb7J6w=="/>
  <w:defaultTabStop w:val="720"/>
  <w:characterSpacingControl w:val="doNotCompress"/>
  <w:compat>
    <w:useFELayout/>
  </w:compat>
  <w:rsids>
    <w:rsidRoot w:val="005F56B6"/>
    <w:rsid w:val="00322EC8"/>
    <w:rsid w:val="00493AAF"/>
    <w:rsid w:val="005F5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C8"/>
  </w:style>
  <w:style w:type="paragraph" w:styleId="Heading1">
    <w:name w:val="heading 1"/>
    <w:basedOn w:val="Normal"/>
    <w:link w:val="Heading1Char"/>
    <w:uiPriority w:val="9"/>
    <w:qFormat/>
    <w:rsid w:val="005F56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6B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F5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B6"/>
    <w:rPr>
      <w:rFonts w:ascii="Tahoma" w:hAnsi="Tahoma" w:cs="Tahoma"/>
      <w:sz w:val="16"/>
      <w:szCs w:val="16"/>
    </w:rPr>
  </w:style>
  <w:style w:type="character" w:customStyle="1" w:styleId="apple-converted-space">
    <w:name w:val="apple-converted-space"/>
    <w:basedOn w:val="DefaultParagraphFont"/>
    <w:rsid w:val="005F56B6"/>
  </w:style>
  <w:style w:type="paragraph" w:styleId="NormalWeb">
    <w:name w:val="Normal (Web)"/>
    <w:basedOn w:val="Normal"/>
    <w:uiPriority w:val="99"/>
    <w:semiHidden/>
    <w:unhideWhenUsed/>
    <w:rsid w:val="005F56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56B6"/>
    <w:rPr>
      <w:b/>
      <w:bCs/>
    </w:rPr>
  </w:style>
  <w:style w:type="character" w:styleId="Hyperlink">
    <w:name w:val="Hyperlink"/>
    <w:basedOn w:val="DefaultParagraphFont"/>
    <w:uiPriority w:val="99"/>
    <w:semiHidden/>
    <w:unhideWhenUsed/>
    <w:rsid w:val="005F56B6"/>
    <w:rPr>
      <w:color w:val="0000FF"/>
      <w:u w:val="single"/>
    </w:rPr>
  </w:style>
</w:styles>
</file>

<file path=word/webSettings.xml><?xml version="1.0" encoding="utf-8"?>
<w:webSettings xmlns:r="http://schemas.openxmlformats.org/officeDocument/2006/relationships" xmlns:w="http://schemas.openxmlformats.org/wordprocessingml/2006/main">
  <w:divs>
    <w:div w:id="1297685150">
      <w:bodyDiv w:val="1"/>
      <w:marLeft w:val="0"/>
      <w:marRight w:val="0"/>
      <w:marTop w:val="0"/>
      <w:marBottom w:val="0"/>
      <w:divBdr>
        <w:top w:val="none" w:sz="0" w:space="0" w:color="auto"/>
        <w:left w:val="none" w:sz="0" w:space="0" w:color="auto"/>
        <w:bottom w:val="none" w:sz="0" w:space="0" w:color="auto"/>
        <w:right w:val="none" w:sz="0" w:space="0" w:color="auto"/>
      </w:divBdr>
    </w:div>
    <w:div w:id="21446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emcellnetwork.ca/index.php?page=about-us&amp;hl=e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ewencentre.com/hom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1275</Words>
  <Characters>7274</Characters>
  <Application>Microsoft Office Word</Application>
  <DocSecurity>8</DocSecurity>
  <Lines>60</Lines>
  <Paragraphs>17</Paragraphs>
  <ScaleCrop>false</ScaleCrop>
  <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2015-03-11T02:49:00Z</dcterms:created>
  <dcterms:modified xsi:type="dcterms:W3CDTF">2015-03-12T00:15:00Z</dcterms:modified>
</cp:coreProperties>
</file>